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180"/>
        <w:jc w:val="center"/>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Pr>
        <w:drawing>
          <wp:inline distB="0" distT="0" distL="0" distR="0">
            <wp:extent cx="4429125" cy="1028700"/>
            <wp:effectExtent b="0" l="0" r="0" t="0"/>
            <wp:docPr descr="Image result for barnegat township schools" id="4" name="image1.jpg"/>
            <a:graphic>
              <a:graphicData uri="http://schemas.openxmlformats.org/drawingml/2006/picture">
                <pic:pic>
                  <pic:nvPicPr>
                    <pic:cNvPr descr="Image result for barnegat township schools" id="0" name="image1.jpg"/>
                    <pic:cNvPicPr preferRelativeResize="0"/>
                  </pic:nvPicPr>
                  <pic:blipFill>
                    <a:blip r:embed="rId6"/>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right="18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Russell O. Brackman Middle School </w:t>
      </w:r>
    </w:p>
    <w:p w:rsidR="00000000" w:rsidDel="00000000" w:rsidP="00000000" w:rsidRDefault="00000000" w:rsidRPr="00000000" w14:paraId="00000003">
      <w:pPr>
        <w:ind w:left="360" w:right="18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Sports Analytics Syllabus</w:t>
      </w:r>
    </w:p>
    <w:p w:rsidR="00000000" w:rsidDel="00000000" w:rsidP="00000000" w:rsidRDefault="00000000" w:rsidRPr="00000000" w14:paraId="00000004">
      <w:pPr>
        <w:ind w:left="360" w:right="180"/>
        <w:jc w:val="center"/>
        <w:rPr>
          <w:rFonts w:ascii="Cambria" w:cs="Cambria" w:eastAsia="Cambria" w:hAnsi="Cambria"/>
          <w:sz w:val="28"/>
          <w:szCs w:val="28"/>
        </w:rPr>
      </w:pPr>
      <w:r w:rsidDel="00000000" w:rsidR="00000000" w:rsidRPr="00000000">
        <w:rPr>
          <w:rFonts w:ascii="Cambria" w:cs="Cambria" w:eastAsia="Cambria" w:hAnsi="Cambria"/>
          <w:b w:val="1"/>
        </w:rPr>
        <mc:AlternateContent>
          <mc:Choice Requires="wpg">
            <w:drawing>
              <wp:inline distB="0" distT="0" distL="0" distR="0">
                <wp:extent cx="6543675" cy="19050"/>
                <wp:effectExtent b="0" l="0" r="0" t="0"/>
                <wp:docPr id="2"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ind w:left="360" w:right="180"/>
        <w:jc w:val="center"/>
        <w:rPr>
          <w:rFonts w:ascii="Cambria" w:cs="Cambria" w:eastAsia="Cambria" w:hAnsi="Cambria"/>
          <w:sz w:val="28"/>
          <w:szCs w:val="28"/>
        </w:rPr>
      </w:pPr>
      <w:r w:rsidDel="00000000" w:rsidR="00000000" w:rsidRPr="00000000">
        <w:rPr>
          <w:rFonts w:ascii="Cambria" w:cs="Cambria" w:eastAsia="Cambria" w:hAnsi="Cambria"/>
          <w:b w:val="1"/>
        </w:rPr>
        <mc:AlternateContent>
          <mc:Choice Requires="wpg">
            <w:drawing>
              <wp:inline distB="0" distT="0" distL="0" distR="0">
                <wp:extent cx="6543675" cy="19050"/>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tbl>
      <w:tblPr>
        <w:tblStyle w:val="Table1"/>
        <w:tblW w:w="10080.0" w:type="dxa"/>
        <w:jc w:val="left"/>
        <w:tblInd w:w="0.0" w:type="dxa"/>
        <w:tblLayout w:type="fixed"/>
        <w:tblLook w:val="0000"/>
      </w:tblPr>
      <w:tblGrid>
        <w:gridCol w:w="4704"/>
        <w:gridCol w:w="5376"/>
        <w:tblGridChange w:id="0">
          <w:tblGrid>
            <w:gridCol w:w="4704"/>
            <w:gridCol w:w="5376"/>
          </w:tblGrid>
        </w:tblGridChange>
      </w:tblGrid>
      <w:tr>
        <w:trPr>
          <w:trHeight w:val="240" w:hRule="atLeast"/>
        </w:trPr>
        <w:tc>
          <w:tcPr/>
          <w:p w:rsidR="00000000" w:rsidDel="00000000" w:rsidP="00000000" w:rsidRDefault="00000000" w:rsidRPr="00000000" w14:paraId="00000006">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Information</w:t>
            </w:r>
          </w:p>
        </w:tc>
        <w:tc>
          <w:tcPr/>
          <w:p w:rsidR="00000000" w:rsidDel="00000000" w:rsidP="00000000" w:rsidRDefault="00000000" w:rsidRPr="00000000" w14:paraId="00000007">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Teacher Information</w:t>
            </w:r>
          </w:p>
        </w:tc>
      </w:tr>
      <w:tr>
        <w:trPr>
          <w:trHeight w:val="240" w:hRule="atLeast"/>
        </w:trPr>
        <w:tc>
          <w:tcPr/>
          <w:p w:rsidR="00000000" w:rsidDel="00000000" w:rsidP="00000000" w:rsidRDefault="00000000" w:rsidRPr="00000000" w14:paraId="00000008">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Sports Analytics</w:t>
            </w:r>
          </w:p>
        </w:tc>
        <w:tc>
          <w:tcPr/>
          <w:p w:rsidR="00000000" w:rsidDel="00000000" w:rsidP="00000000" w:rsidRDefault="00000000" w:rsidRPr="00000000" w14:paraId="00000009">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Name(s): Derek Rizzo</w:t>
            </w:r>
          </w:p>
        </w:tc>
      </w:tr>
      <w:tr>
        <w:trPr>
          <w:trHeight w:val="240" w:hRule="atLeast"/>
        </w:trPr>
        <w:tc>
          <w:tcPr/>
          <w:p w:rsidR="00000000" w:rsidDel="00000000" w:rsidP="00000000" w:rsidRDefault="00000000" w:rsidRPr="00000000" w14:paraId="0000000A">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Semester </w:t>
            </w:r>
          </w:p>
        </w:tc>
        <w:tc>
          <w:tcPr/>
          <w:p w:rsidR="00000000" w:rsidDel="00000000" w:rsidP="00000000" w:rsidRDefault="00000000" w:rsidRPr="00000000" w14:paraId="0000000B">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Phone:  609-698-5880 ext. 4030</w:t>
            </w:r>
          </w:p>
        </w:tc>
      </w:tr>
      <w:tr>
        <w:trPr>
          <w:trHeight w:val="240" w:hRule="atLeast"/>
        </w:trPr>
        <w:tc>
          <w:tcPr/>
          <w:p w:rsidR="00000000" w:rsidDel="00000000" w:rsidP="00000000" w:rsidRDefault="00000000" w:rsidRPr="00000000" w14:paraId="0000000C">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 Location: Room # N121</w:t>
            </w:r>
          </w:p>
        </w:tc>
        <w:tc>
          <w:tcPr/>
          <w:p w:rsidR="00000000" w:rsidDel="00000000" w:rsidP="00000000" w:rsidRDefault="00000000" w:rsidRPr="00000000" w14:paraId="0000000D">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drizzo@barnegatschools.com</w:t>
            </w:r>
          </w:p>
        </w:tc>
      </w:tr>
      <w:tr>
        <w:trPr>
          <w:trHeight w:val="440" w:hRule="atLeast"/>
        </w:trPr>
        <w:tc>
          <w:tcPr/>
          <w:p w:rsidR="00000000" w:rsidDel="00000000" w:rsidP="00000000" w:rsidRDefault="00000000" w:rsidRPr="00000000" w14:paraId="0000000E">
            <w:pPr>
              <w:ind w:left="360" w:right="180"/>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0F">
            <w:pPr>
              <w:ind w:left="360" w:right="18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0">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Description: </w:t>
      </w:r>
    </w:p>
    <w:tbl>
      <w:tblPr>
        <w:tblStyle w:val="Table2"/>
        <w:tblW w:w="10152.0" w:type="dxa"/>
        <w:jc w:val="left"/>
        <w:tblInd w:w="648.0" w:type="dxa"/>
        <w:tblLayout w:type="fixed"/>
        <w:tblLook w:val="0400"/>
      </w:tblPr>
      <w:tblGrid>
        <w:gridCol w:w="10152"/>
        <w:tblGridChange w:id="0">
          <w:tblGrid>
            <w:gridCol w:w="10152"/>
          </w:tblGrid>
        </w:tblGridChange>
      </w:tblGrid>
      <w:tr>
        <w:trPr>
          <w:trHeight w:val="1080" w:hRule="atLeast"/>
        </w:trPr>
        <w:tc>
          <w:tcPr/>
          <w:p w:rsidR="00000000" w:rsidDel="00000000" w:rsidP="00000000" w:rsidRDefault="00000000" w:rsidRPr="00000000" w14:paraId="00000011">
            <w:pPr>
              <w:ind w:left="-30" w:right="180"/>
              <w:rPr>
                <w:b w:val="1"/>
              </w:rPr>
            </w:pPr>
            <w:r w:rsidDel="00000000" w:rsidR="00000000" w:rsidRPr="00000000">
              <w:rPr>
                <w:b w:val="1"/>
                <w:sz w:val="25"/>
                <w:szCs w:val="25"/>
                <w:rtl w:val="0"/>
              </w:rPr>
              <w:t xml:space="preserve">This course will introduce students to Sports Analytics and allow them to use sports data to run statistical leagues, make arguments on why certain positional players are more important to success than others, and allow them to make predictions on player performances. This course is designed to allow the ability to look at historical data and compare and contrast players of different eras to determine who is considered the best at a position. Each unit will cover a different sport and facets of sports data, giving the user the ability to draw conclusions based on their work.</w:t>
            </w:r>
            <w:r w:rsidDel="00000000" w:rsidR="00000000" w:rsidRPr="00000000">
              <w:rPr>
                <w:rtl w:val="0"/>
              </w:rPr>
            </w:r>
          </w:p>
          <w:p w:rsidR="00000000" w:rsidDel="00000000" w:rsidP="00000000" w:rsidRDefault="00000000" w:rsidRPr="00000000" w14:paraId="00000012">
            <w:pPr>
              <w:ind w:left="-3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ind w:right="18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4">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Competencies/ Learning Objectives</w:t>
      </w:r>
    </w:p>
    <w:p w:rsidR="00000000" w:rsidDel="00000000" w:rsidP="00000000" w:rsidRDefault="00000000" w:rsidRPr="00000000" w14:paraId="00000015">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who successfully complete name of course will be competent in the following areas:</w:t>
      </w:r>
    </w:p>
    <w:tbl>
      <w:tblPr>
        <w:tblStyle w:val="Table3"/>
        <w:tblW w:w="10422.0" w:type="dxa"/>
        <w:jc w:val="left"/>
        <w:tblInd w:w="378.0" w:type="dxa"/>
        <w:tblLayout w:type="fixed"/>
        <w:tblLook w:val="0400"/>
      </w:tblPr>
      <w:tblGrid>
        <w:gridCol w:w="10422"/>
        <w:tblGridChange w:id="0">
          <w:tblGrid>
            <w:gridCol w:w="10422"/>
          </w:tblGrid>
        </w:tblGridChange>
      </w:tblGrid>
      <w:tr>
        <w:tc>
          <w:tcPr/>
          <w:p w:rsidR="00000000" w:rsidDel="00000000" w:rsidP="00000000" w:rsidRDefault="00000000" w:rsidRPr="00000000" w14:paraId="00000016">
            <w:pPr>
              <w:ind w:left="0" w:right="18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numPr>
                <w:ilvl w:val="0"/>
                <w:numId w:val="4"/>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Compute unit rates associated with ratios of fractions, including ratios of lengths, areas and other quantities measured in like or different units.</w:t>
            </w:r>
          </w:p>
          <w:p w:rsidR="00000000" w:rsidDel="00000000" w:rsidP="00000000" w:rsidRDefault="00000000" w:rsidRPr="00000000" w14:paraId="00000018">
            <w:pPr>
              <w:numPr>
                <w:ilvl w:val="0"/>
                <w:numId w:val="4"/>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Apply and extend previous understandings of multiplication and division and of fractions to multiply and divide rational numbers. Convert a rational number to a decimal using long division; know that the decimal form of a rational number terminates in 0s or eventually repeats.</w:t>
            </w:r>
          </w:p>
          <w:p w:rsidR="00000000" w:rsidDel="00000000" w:rsidP="00000000" w:rsidRDefault="00000000" w:rsidRPr="00000000" w14:paraId="00000019">
            <w:pPr>
              <w:numPr>
                <w:ilvl w:val="0"/>
                <w:numId w:val="4"/>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Solve multi-step real-life and mathematical problems posed with positive and negative rational numbers in any form (whole numbers, fractions, decimals), using tools strategically. Apply properties of operations to calculate with numbers in any form; convert between forms as appropriate; and assess the reasonableness of answers using mental computation and estimation strategies. </w:t>
            </w:r>
          </w:p>
          <w:p w:rsidR="00000000" w:rsidDel="00000000" w:rsidP="00000000" w:rsidRDefault="00000000" w:rsidRPr="00000000" w14:paraId="0000001A">
            <w:pPr>
              <w:numPr>
                <w:ilvl w:val="0"/>
                <w:numId w:val="4"/>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Solve real-life and mathematical problems using numerical and algebraic expressions and equations. </w:t>
            </w:r>
          </w:p>
          <w:p w:rsidR="00000000" w:rsidDel="00000000" w:rsidP="00000000" w:rsidRDefault="00000000" w:rsidRPr="00000000" w14:paraId="0000001B">
            <w:pPr>
              <w:numPr>
                <w:ilvl w:val="0"/>
                <w:numId w:val="4"/>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p w:rsidR="00000000" w:rsidDel="00000000" w:rsidP="00000000" w:rsidRDefault="00000000" w:rsidRPr="00000000" w14:paraId="0000001C">
            <w:pPr>
              <w:ind w:left="720" w:right="180" w:firstLine="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D">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Texts / Online Resources </w:t>
      </w:r>
    </w:p>
    <w:p w:rsidR="00000000" w:rsidDel="00000000" w:rsidP="00000000" w:rsidRDefault="00000000" w:rsidRPr="00000000" w14:paraId="0000001E">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Sports Analytics for Students</w:t>
      </w:r>
    </w:p>
    <w:p w:rsidR="00000000" w:rsidDel="00000000" w:rsidP="00000000" w:rsidRDefault="00000000" w:rsidRPr="00000000" w14:paraId="0000001F">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Big Ideas Math </w:t>
      </w:r>
    </w:p>
    <w:p w:rsidR="00000000" w:rsidDel="00000000" w:rsidP="00000000" w:rsidRDefault="00000000" w:rsidRPr="00000000" w14:paraId="00000020">
      <w:pPr>
        <w:ind w:left="72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ind w:right="180" w:firstLine="72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2">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Materials</w:t>
      </w:r>
    </w:p>
    <w:p w:rsidR="00000000" w:rsidDel="00000000" w:rsidP="00000000" w:rsidRDefault="00000000" w:rsidRPr="00000000" w14:paraId="00000023">
      <w:pPr>
        <w:ind w:right="18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Binder, notebook, pencils, erasers, loose leaf paper for binder, graph paper</w:t>
      </w:r>
      <w:r w:rsidDel="00000000" w:rsidR="00000000" w:rsidRPr="00000000">
        <w:rPr>
          <w:rtl w:val="0"/>
        </w:rPr>
      </w:r>
    </w:p>
    <w:p w:rsidR="00000000" w:rsidDel="00000000" w:rsidP="00000000" w:rsidRDefault="00000000" w:rsidRPr="00000000" w14:paraId="00000024">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Attendance Policy</w:t>
      </w:r>
    </w:p>
    <w:p w:rsidR="00000000" w:rsidDel="00000000" w:rsidP="00000000" w:rsidRDefault="00000000" w:rsidRPr="00000000" w14:paraId="00000025">
      <w:pPr>
        <w:tabs>
          <w:tab w:val="left" w:pos="720"/>
          <w:tab w:val="left" w:pos="1440"/>
        </w:tabs>
        <w:ind w:left="81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26">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7">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Topic Outline  </w:t>
      </w:r>
    </w:p>
    <w:p w:rsidR="00000000" w:rsidDel="00000000" w:rsidP="00000000" w:rsidRDefault="00000000" w:rsidRPr="00000000" w14:paraId="00000028">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Please find a list of the units for this course: </w:t>
      </w:r>
    </w:p>
    <w:p w:rsidR="00000000" w:rsidDel="00000000" w:rsidP="00000000" w:rsidRDefault="00000000" w:rsidRPr="00000000" w14:paraId="00000029">
      <w:pPr>
        <w:ind w:right="180"/>
        <w:rPr>
          <w:rFonts w:ascii="Cambria" w:cs="Cambria" w:eastAsia="Cambria" w:hAnsi="Cambria"/>
          <w:sz w:val="22"/>
          <w:szCs w:val="22"/>
        </w:rPr>
      </w:pPr>
      <w:r w:rsidDel="00000000" w:rsidR="00000000" w:rsidRPr="00000000">
        <w:rPr>
          <w:rtl w:val="0"/>
        </w:rPr>
      </w:r>
    </w:p>
    <w:tbl>
      <w:tblPr>
        <w:tblStyle w:val="Table4"/>
        <w:tblW w:w="79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7"/>
        <w:gridCol w:w="2970"/>
        <w:tblGridChange w:id="0">
          <w:tblGrid>
            <w:gridCol w:w="5017"/>
            <w:gridCol w:w="2970"/>
          </w:tblGrid>
        </w:tblGridChange>
      </w:tblGrid>
      <w:tr>
        <w:trPr>
          <w:trHeight w:val="240" w:hRule="atLeast"/>
        </w:trPr>
        <w:tc>
          <w:tcPr>
            <w:gridSpan w:val="2"/>
            <w:tcMar>
              <w:top w:w="100.0" w:type="dxa"/>
              <w:left w:w="100.0" w:type="dxa"/>
              <w:bottom w:w="100.0" w:type="dxa"/>
              <w:right w:w="100.0" w:type="dxa"/>
            </w:tcMar>
          </w:tcPr>
          <w:p w:rsidR="00000000" w:rsidDel="00000000" w:rsidP="00000000" w:rsidRDefault="00000000" w:rsidRPr="00000000" w14:paraId="0000002A">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Content Area: Mathematics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C">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Title: Pre-Algebra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 Level: 8</w:t>
            </w:r>
            <w:r w:rsidDel="00000000" w:rsidR="00000000" w:rsidRPr="00000000">
              <w:rPr>
                <w:rtl w:val="0"/>
              </w:rPr>
            </w:r>
          </w:p>
        </w:tc>
      </w:tr>
      <w:t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Unit 1: Sports Data</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pPr>
            <w:r w:rsidDel="00000000" w:rsidR="00000000" w:rsidRPr="00000000">
              <w:rPr>
                <w:rtl w:val="0"/>
              </w:rPr>
              <w:t xml:space="preserve"> 25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t xml:space="preserve">Unit 2: Hall of Fame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pPr>
            <w:r w:rsidDel="00000000" w:rsidR="00000000" w:rsidRPr="00000000">
              <w:rPr>
                <w:rtl w:val="0"/>
              </w:rPr>
              <w:t xml:space="preserve">20 Days</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t xml:space="preserve">Unit 3:  What makes an All-Star/All-Pro?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pPr>
            <w:r w:rsidDel="00000000" w:rsidR="00000000" w:rsidRPr="00000000">
              <w:rPr>
                <w:rtl w:val="0"/>
              </w:rPr>
              <w:t xml:space="preserve">20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t xml:space="preserve">Unit 4: Salary Caps (Budgets)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pPr>
            <w:r w:rsidDel="00000000" w:rsidR="00000000" w:rsidRPr="00000000">
              <w:rPr>
                <w:rtl w:val="0"/>
              </w:rPr>
              <w:t xml:space="preserve">15 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Unit 5: Game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pPr>
            <w:r w:rsidDel="00000000" w:rsidR="00000000" w:rsidRPr="00000000">
              <w:rPr>
                <w:rtl w:val="0"/>
              </w:rPr>
              <w:t xml:space="preserve">10 Days</w:t>
            </w:r>
          </w:p>
        </w:tc>
      </w:tr>
    </w:tbl>
    <w:p w:rsidR="00000000" w:rsidDel="00000000" w:rsidP="00000000" w:rsidRDefault="00000000" w:rsidRPr="00000000" w14:paraId="00000038">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9">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 Grades</w:t>
      </w:r>
    </w:p>
    <w:p w:rsidR="00000000" w:rsidDel="00000000" w:rsidP="00000000" w:rsidRDefault="00000000" w:rsidRPr="00000000" w14:paraId="0000003A">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grading system for this course is based on the category weights listed in each department’s policy.  For this course, those weights are listed below.   Each marking period, students will have a minimum of three (3) Major Assessments and five (7) Minor Assessments (explained below).  Homework is graded for completion, and Class Participation is assessed using the district rubric.  </w:t>
      </w:r>
    </w:p>
    <w:p w:rsidR="00000000" w:rsidDel="00000000" w:rsidP="00000000" w:rsidRDefault="00000000" w:rsidRPr="00000000" w14:paraId="0000003B">
      <w:pPr>
        <w:ind w:left="720" w:right="180"/>
        <w:rPr>
          <w:rFonts w:ascii="Cambria" w:cs="Cambria" w:eastAsia="Cambria" w:hAnsi="Cambria"/>
          <w:sz w:val="22"/>
          <w:szCs w:val="22"/>
        </w:rPr>
      </w:pPr>
      <w:r w:rsidDel="00000000" w:rsidR="00000000" w:rsidRPr="00000000">
        <w:rPr>
          <w:rtl w:val="0"/>
        </w:rPr>
      </w:r>
    </w:p>
    <w:tbl>
      <w:tblPr>
        <w:tblStyle w:val="Table5"/>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c>
          <w:tcPr/>
          <w:p w:rsidR="00000000" w:rsidDel="00000000" w:rsidP="00000000" w:rsidRDefault="00000000" w:rsidRPr="00000000" w14:paraId="0000003C">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Major Assessments</w:t>
            </w:r>
          </w:p>
        </w:tc>
        <w:tc>
          <w:tcPr/>
          <w:p w:rsidR="00000000" w:rsidDel="00000000" w:rsidP="00000000" w:rsidRDefault="00000000" w:rsidRPr="00000000" w14:paraId="0000003D">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3E">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50% of marking period grade</w:t>
            </w:r>
          </w:p>
        </w:tc>
      </w:tr>
      <w:tr>
        <w:tc>
          <w:tcPr/>
          <w:p w:rsidR="00000000" w:rsidDel="00000000" w:rsidP="00000000" w:rsidRDefault="00000000" w:rsidRPr="00000000" w14:paraId="0000003F">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Minor Assessments</w:t>
            </w:r>
          </w:p>
        </w:tc>
        <w:tc>
          <w:tcPr/>
          <w:p w:rsidR="00000000" w:rsidDel="00000000" w:rsidP="00000000" w:rsidRDefault="00000000" w:rsidRPr="00000000" w14:paraId="00000040">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1">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30% of marking period grade</w:t>
            </w:r>
          </w:p>
        </w:tc>
      </w:tr>
      <w:tr>
        <w:tc>
          <w:tcPr/>
          <w:p w:rsidR="00000000" w:rsidDel="00000000" w:rsidP="00000000" w:rsidRDefault="00000000" w:rsidRPr="00000000" w14:paraId="00000042">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 Participation</w:t>
            </w:r>
          </w:p>
        </w:tc>
        <w:tc>
          <w:tcPr/>
          <w:p w:rsidR="00000000" w:rsidDel="00000000" w:rsidP="00000000" w:rsidRDefault="00000000" w:rsidRPr="00000000" w14:paraId="00000043">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4">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 of marking period grade</w:t>
            </w:r>
          </w:p>
        </w:tc>
      </w:tr>
    </w:tbl>
    <w:p w:rsidR="00000000" w:rsidDel="00000000" w:rsidP="00000000" w:rsidRDefault="00000000" w:rsidRPr="00000000" w14:paraId="00000045">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6">
      <w:pPr>
        <w:spacing w:after="240" w:lineRule="auto"/>
        <w:jc w:val="cente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24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 Participation Rubric</w:t>
      </w:r>
    </w:p>
    <w:tbl>
      <w:tblPr>
        <w:tblStyle w:val="Table6"/>
        <w:tblW w:w="8240.0" w:type="dxa"/>
        <w:jc w:val="center"/>
        <w:tblLayout w:type="fixed"/>
        <w:tblLook w:val="0400"/>
      </w:tblPr>
      <w:tblGrid>
        <w:gridCol w:w="1839"/>
        <w:gridCol w:w="6401"/>
        <w:tblGridChange w:id="0">
          <w:tblGrid>
            <w:gridCol w:w="1839"/>
            <w:gridCol w:w="640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Meets or Exceeds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Expectations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100 - 93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The student:</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ensures that the class is a community of respect;  </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consistently arrives prepared for class;</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voluntarily participates on a consistent basis; </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consistently remains focused and on task;</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initiates and sustains discussion;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evaluates and responds to peer points; </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consistently demonstrates leadership in collaborative activities. </w:t>
            </w:r>
          </w:p>
          <w:p w:rsidR="00000000" w:rsidDel="00000000" w:rsidP="00000000" w:rsidRDefault="00000000" w:rsidRPr="00000000" w14:paraId="00000053">
            <w:pPr>
              <w:rPr>
                <w:rFonts w:ascii="Cambria" w:cs="Cambria" w:eastAsia="Cambria" w:hAnsi="Cambria"/>
                <w:sz w:val="21"/>
                <w:szCs w:val="2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Approaches Expectations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92 - 85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The student:</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recognizes the class as a community of respect; </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usually arrives prepared for class;</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willingly participates on a regular basis;  </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remains focused and on-task on a regular basis;  </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contributes to discussion on a regular basis;</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listens to and responds to peer points;</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contributes to collaborative activities on a consistent basis.</w:t>
            </w:r>
          </w:p>
          <w:p w:rsidR="00000000" w:rsidDel="00000000" w:rsidP="00000000" w:rsidRDefault="00000000" w:rsidRPr="00000000" w14:paraId="0000005E">
            <w:pPr>
              <w:rPr>
                <w:rFonts w:ascii="Cambria" w:cs="Cambria" w:eastAsia="Cambria" w:hAnsi="Cambria"/>
                <w:sz w:val="21"/>
                <w:szCs w:val="21"/>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Does Not Meet Expectations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1"/>
                <w:i w:val="0"/>
                <w:smallCaps w:val="0"/>
                <w:strike w:val="0"/>
                <w:sz w:val="21"/>
                <w:szCs w:val="21"/>
                <w:u w:val="none"/>
                <w:shd w:fill="auto" w:val="clear"/>
                <w:vertAlign w:val="baseline"/>
                <w:rtl w:val="0"/>
              </w:rPr>
              <w:t xml:space="preserve">84 - 70</w:t>
            </w:r>
            <w:r w:rsidDel="00000000" w:rsidR="00000000" w:rsidRPr="00000000">
              <w:rPr>
                <w:rtl w:val="0"/>
              </w:rPr>
            </w:r>
          </w:p>
          <w:p w:rsidR="00000000" w:rsidDel="00000000" w:rsidP="00000000" w:rsidRDefault="00000000" w:rsidRPr="00000000" w14:paraId="00000061">
            <w:pPr>
              <w:rPr>
                <w:rFonts w:ascii="Cambria" w:cs="Cambria" w:eastAsia="Cambria" w:hAnsi="Cambria"/>
                <w:sz w:val="21"/>
                <w:szCs w:val="2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1"/>
                <w:szCs w:val="21"/>
                <w:u w:val="none"/>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The student:</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fails to recognize the class as a community of respect;</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frequently arrives unprepared for class;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rarely participates, even when called upon;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lacks focus and rarely remains on task;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rarely engages in discussion;</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reacts to peer points rather than responds;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shd w:fill="auto" w:val="clear"/>
                <w:vertAlign w:val="baseline"/>
              </w:rPr>
            </w:pPr>
            <w:r w:rsidDel="00000000" w:rsidR="00000000" w:rsidRPr="00000000">
              <w:rPr>
                <w:rFonts w:ascii="Cambria" w:cs="Cambria" w:eastAsia="Cambria" w:hAnsi="Cambria"/>
                <w:b w:val="0"/>
                <w:i w:val="0"/>
                <w:smallCaps w:val="0"/>
                <w:strike w:val="0"/>
                <w:sz w:val="21"/>
                <w:szCs w:val="21"/>
                <w:u w:val="none"/>
                <w:shd w:fill="auto" w:val="clear"/>
                <w:vertAlign w:val="baseline"/>
                <w:rtl w:val="0"/>
              </w:rPr>
              <w:t xml:space="preserve">rarely engages in collaborative activities.</w:t>
            </w:r>
          </w:p>
          <w:p w:rsidR="00000000" w:rsidDel="00000000" w:rsidP="00000000" w:rsidRDefault="00000000" w:rsidRPr="00000000" w14:paraId="0000006A">
            <w:pPr>
              <w:rPr>
                <w:rFonts w:ascii="Cambria" w:cs="Cambria" w:eastAsia="Cambria" w:hAnsi="Cambria"/>
                <w:sz w:val="21"/>
                <w:szCs w:val="21"/>
              </w:rPr>
            </w:pPr>
            <w:r w:rsidDel="00000000" w:rsidR="00000000" w:rsidRPr="00000000">
              <w:rPr>
                <w:rtl w:val="0"/>
              </w:rPr>
            </w:r>
          </w:p>
        </w:tc>
      </w:tr>
    </w:tbl>
    <w:p w:rsidR="00000000" w:rsidDel="00000000" w:rsidP="00000000" w:rsidRDefault="00000000" w:rsidRPr="00000000" w14:paraId="0000006B">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Examples of Major Assessments include items that are summative in nature, such as: </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tests, projects, formal presentations, reports,</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 or any other type of assessment used to capture evidence of learning at the culmination of a unit of study.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Examples of Minor Assessments include items that are formative in nature, such as: </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quizzes, exit tickets, </w:t>
      </w:r>
      <w:r w:rsidDel="00000000" w:rsidR="00000000" w:rsidRPr="00000000">
        <w:rPr>
          <w:rFonts w:ascii="Cambria" w:cs="Cambria" w:eastAsia="Cambria" w:hAnsi="Cambria"/>
          <w:sz w:val="22"/>
          <w:szCs w:val="22"/>
          <w:rtl w:val="0"/>
        </w:rPr>
        <w:t xml:space="preserve">, collaborative learning, </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in class worksheets</w:t>
      </w: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 or any other type of assessment that is diagnostic in nature and used to guide instruction and provide ongoing feedback to students.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Note: grades for individual assignments are entered into Genesis for the marking period in which the assignment is assigned and collected, and not a subsequent marking period.   </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Extra Credit will only be available for assignments that have been approved ahead of time by the teacher and department supervisor.  </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180" w:hanging="360"/>
        <w:jc w:val="left"/>
        <w:rPr>
          <w:b w:val="1"/>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In this course, it is expected that students will submit only their best work, and teachers reserve the right not to accept work that is substantially below what a student is capable of producing.  </w:t>
      </w:r>
      <w:r w:rsidDel="00000000" w:rsidR="00000000" w:rsidRPr="00000000">
        <w:rPr>
          <w:rtl w:val="0"/>
        </w:rPr>
      </w:r>
    </w:p>
    <w:p w:rsidR="00000000" w:rsidDel="00000000" w:rsidP="00000000" w:rsidRDefault="00000000" w:rsidRPr="00000000" w14:paraId="00000071">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2">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Plagiarism, Cheating, and Academic Integrity</w:t>
      </w:r>
    </w:p>
    <w:p w:rsidR="00000000" w:rsidDel="00000000" w:rsidP="00000000" w:rsidRDefault="00000000" w:rsidRPr="00000000" w14:paraId="00000073">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074">
      <w:pPr>
        <w:ind w:left="720" w:right="18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75">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Classroom Expectations </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All school rules and policies apply to this class.  </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The teacher and students will work together for a respectful, safe classroom. </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Students will come to class on time, prepared, and ready to learn. </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Students will complete all assignments, including homework, by all deadlines.  Make-up work is only accepted after an excused absence.  It is your responsibility to see me for your work before or after school.</w:t>
      </w:r>
    </w:p>
    <w:p w:rsidR="00000000" w:rsidDel="00000000" w:rsidP="00000000" w:rsidRDefault="00000000" w:rsidRPr="00000000" w14:paraId="000000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Students will actively participation in class discussions and other activities in order to enhance their learning experiences.</w:t>
      </w:r>
    </w:p>
    <w:p w:rsidR="00000000" w:rsidDel="00000000" w:rsidP="00000000" w:rsidRDefault="00000000" w:rsidRPr="00000000" w14:paraId="000000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Cell phones, iPods, or any other personal electronic devices are prohibited in class at any time.</w:t>
      </w:r>
    </w:p>
    <w:p w:rsidR="00000000" w:rsidDel="00000000" w:rsidP="00000000" w:rsidRDefault="00000000" w:rsidRPr="00000000" w14:paraId="0000007C">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7D">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Extra Help and Support</w:t>
      </w:r>
    </w:p>
    <w:p w:rsidR="00000000" w:rsidDel="00000000" w:rsidP="00000000" w:rsidRDefault="00000000" w:rsidRPr="00000000" w14:paraId="0000007E">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Occasionally, students will require additional help to master the content and skills in this course.  If you need additional help, there are a variety of options for you, including:</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Before/after school help sessions with your teacher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Peer tutoring from NHS / NJHS students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b w:val="0"/>
          <w:i w:val="0"/>
          <w:smallCaps w:val="0"/>
          <w:strike w:val="0"/>
          <w:sz w:val="22"/>
          <w:szCs w:val="22"/>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Free online tutoring with Brainfuse (available from the Barnegat Library website)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mbria" w:cs="Cambria" w:eastAsia="Cambria" w:hAnsi="Cambria"/>
          <w:b w:val="0"/>
          <w:i w:val="0"/>
          <w:smallCaps w:val="0"/>
          <w:strike w:val="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As your teacher, I am committed to your success.   If you need help, please ask!  </w:t>
      </w:r>
    </w:p>
    <w:p w:rsidR="00000000" w:rsidDel="00000000" w:rsidP="00000000" w:rsidRDefault="00000000" w:rsidRPr="00000000" w14:paraId="00000083">
      <w:pPr>
        <w:ind w:left="360" w:right="180"/>
        <w:rPr>
          <w:rFonts w:ascii="Cambria" w:cs="Cambria" w:eastAsia="Cambria" w:hAnsi="Cambria"/>
          <w:b w:val="1"/>
          <w:sz w:val="22"/>
          <w:szCs w:val="22"/>
        </w:rPr>
      </w:pPr>
      <w:r w:rsidDel="00000000" w:rsidR="00000000" w:rsidRPr="00000000">
        <w:rPr>
          <w:rFonts w:ascii="Cambria" w:cs="Cambria" w:eastAsia="Cambria" w:hAnsi="Cambria"/>
          <w:b w:val="1"/>
        </w:rPr>
        <mc:AlternateContent>
          <mc:Choice Requires="wpg">
            <w:drawing>
              <wp:inline distB="0" distT="0" distL="0" distR="0">
                <wp:extent cx="6543675" cy="19050"/>
                <wp:effectExtent b="0" l="0" r="0" t="0"/>
                <wp:docPr id="3"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widowControl w:val="0"/>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have read and understand the syllabus for Pre-Algebra.  </w:t>
      </w:r>
    </w:p>
    <w:p w:rsidR="00000000" w:rsidDel="00000000" w:rsidP="00000000" w:rsidRDefault="00000000" w:rsidRPr="00000000" w14:paraId="00000085">
      <w:pPr>
        <w:widowControl w:val="0"/>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6">
      <w:pPr>
        <w:widowControl w:val="0"/>
        <w:ind w:left="36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7">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w:t>
        <w:tab/>
        <w:tab/>
        <w:t xml:space="preserve">______________________________________</w:t>
      </w:r>
    </w:p>
    <w:p w:rsidR="00000000" w:rsidDel="00000000" w:rsidP="00000000" w:rsidRDefault="00000000" w:rsidRPr="00000000" w14:paraId="00000088">
      <w:pPr>
        <w:ind w:left="1440" w:right="180"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Signature</w:t>
        <w:tab/>
        <w:tab/>
        <w:tab/>
        <w:tab/>
        <w:tab/>
        <w:t xml:space="preserve">Print Name</w:t>
      </w:r>
    </w:p>
    <w:p w:rsidR="00000000" w:rsidDel="00000000" w:rsidP="00000000" w:rsidRDefault="00000000" w:rsidRPr="00000000" w14:paraId="00000089">
      <w:pPr>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A">
      <w:pPr>
        <w:ind w:left="360" w:right="180"/>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B">
      <w:pPr>
        <w:widowControl w:val="0"/>
        <w:ind w:left="360" w:right="180"/>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C">
      <w:pPr>
        <w:ind w:left="360" w:right="180"/>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___________________________________</w:t>
      </w:r>
      <w:r w:rsidDel="00000000" w:rsidR="00000000" w:rsidRPr="00000000">
        <w:rPr>
          <w:rFonts w:ascii="Cambria" w:cs="Cambria" w:eastAsia="Cambria" w:hAnsi="Cambria"/>
          <w:sz w:val="22"/>
          <w:szCs w:val="22"/>
          <w:rtl w:val="0"/>
        </w:rPr>
        <w:tab/>
        <w:tab/>
        <w:t xml:space="preserve">______________________________________</w:t>
      </w:r>
    </w:p>
    <w:p w:rsidR="00000000" w:rsidDel="00000000" w:rsidP="00000000" w:rsidRDefault="00000000" w:rsidRPr="00000000" w14:paraId="0000008D">
      <w:pPr>
        <w:ind w:left="1440" w:right="180" w:firstLine="720"/>
        <w:rPr>
          <w:rFonts w:ascii="Cambria" w:cs="Cambria" w:eastAsia="Cambria" w:hAnsi="Cambria"/>
        </w:rPr>
      </w:pPr>
      <w:r w:rsidDel="00000000" w:rsidR="00000000" w:rsidRPr="00000000">
        <w:rPr>
          <w:rFonts w:ascii="Cambria" w:cs="Cambria" w:eastAsia="Cambria" w:hAnsi="Cambria"/>
          <w:sz w:val="22"/>
          <w:szCs w:val="22"/>
          <w:rtl w:val="0"/>
        </w:rPr>
        <w:t xml:space="preserve">Parent/Guardian Signature</w:t>
        <w:tab/>
        <w:tab/>
        <w:tab/>
        <w:tab/>
        <w:t xml:space="preserve">Print Name</w:t>
      </w:r>
      <w:r w:rsidDel="00000000" w:rsidR="00000000" w:rsidRPr="00000000">
        <w:rPr>
          <w:rtl w:val="0"/>
        </w:rPr>
      </w:r>
    </w:p>
    <w:sectPr>
      <w:footerReference r:id="rId10"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530" w:hanging="360"/>
      </w:pPr>
      <w:rPr>
        <w:rFonts w:ascii="Noto Sans Symbols" w:cs="Noto Sans Symbols" w:eastAsia="Noto Sans Symbols" w:hAnsi="Noto Sans Symbols"/>
        <w:color w:val="000000"/>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Tahoma" w:cs="Tahoma" w:eastAsia="Tahoma" w:hAnsi="Tahoma"/>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